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7F4A" w14:textId="77777777" w:rsidR="00F732D9" w:rsidRPr="00F732D9" w:rsidRDefault="00F732D9" w:rsidP="00F732D9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14:ligatures w14:val="none"/>
        </w:rPr>
      </w:pPr>
      <w:r w:rsidRPr="00F732D9"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14:ligatures w14:val="none"/>
        </w:rPr>
        <w:t>Ministarstvo znanosti, obrazovanja i mladih</w:t>
      </w:r>
    </w:p>
    <w:p w14:paraId="408F27F4" w14:textId="77777777" w:rsidR="00F732D9" w:rsidRPr="00F732D9" w:rsidRDefault="00F732D9" w:rsidP="00F732D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14:ligatures w14:val="none"/>
        </w:rPr>
      </w:pPr>
      <w:r w:rsidRPr="00F732D9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14:ligatures w14:val="none"/>
        </w:rPr>
        <w:t>915</w:t>
      </w:r>
    </w:p>
    <w:p w14:paraId="4EFC8F09" w14:textId="77777777" w:rsidR="00F732D9" w:rsidRPr="00F732D9" w:rsidRDefault="00F732D9" w:rsidP="00F732D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Na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temelju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članka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11.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stavka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2.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Zakona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o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obrazovanju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odraslih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(»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Narodne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novine«,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broj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144/21)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ministar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znanosti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,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obrazovanja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mladih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donosi</w:t>
      </w:r>
      <w:proofErr w:type="spellEnd"/>
    </w:p>
    <w:p w14:paraId="4A082C7A" w14:textId="77777777" w:rsidR="00F732D9" w:rsidRPr="00F732D9" w:rsidRDefault="00F732D9" w:rsidP="00F732D9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14:ligatures w14:val="none"/>
        </w:rPr>
      </w:pPr>
      <w:r w:rsidRPr="00F732D9"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14:ligatures w14:val="none"/>
        </w:rPr>
        <w:t>ODLUKU</w:t>
      </w:r>
    </w:p>
    <w:p w14:paraId="369F26DA" w14:textId="77777777" w:rsidR="00F732D9" w:rsidRPr="00F732D9" w:rsidRDefault="00F732D9" w:rsidP="00F732D9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14:ligatures w14:val="none"/>
        </w:rPr>
      </w:pPr>
      <w:r w:rsidRPr="00F732D9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14:ligatures w14:val="none"/>
        </w:rPr>
        <w:t>O DONOŠENJU PROGRAMA OBRAZOVANJA ZA STJECANJE DJELOMIČNE KVALIFIKACIJE OPERATIVNI DJELATNIK ZA SIGURNOST I CIVILNU ZAŠTITU U ODGOJNO-OBRAZOVNIM USTANOVAMA / OPERATIVNA DJELATNICA ZA SIGURNOST I CIVILNU ZAŠTITU U</w:t>
      </w:r>
      <w:r w:rsidRPr="00F732D9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14:ligatures w14:val="none"/>
        </w:rPr>
        <w:br/>
        <w:t>ODGOJNO-OBRAZOVNIM USTANOVAMA</w:t>
      </w:r>
    </w:p>
    <w:p w14:paraId="12A24D91" w14:textId="77777777" w:rsidR="00F732D9" w:rsidRPr="00F732D9" w:rsidRDefault="00F732D9" w:rsidP="00F732D9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I.</w:t>
      </w:r>
    </w:p>
    <w:p w14:paraId="77867B61" w14:textId="77777777" w:rsidR="00F732D9" w:rsidRPr="00F732D9" w:rsidRDefault="00F732D9" w:rsidP="00F732D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Ovom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Odlukom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donosi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se Program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obrazovanja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za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stjecanje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djelomične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kvalifikacije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operativni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djelatnik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za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sigurnost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civilnu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zaštitu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u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odgojno-obrazovnim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ustanovama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/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operativna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djelatnica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za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sigurnost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civilnu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zaštitu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u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odgojno-obrazovnim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ustanovama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.</w:t>
      </w:r>
    </w:p>
    <w:p w14:paraId="7D3831EB" w14:textId="77777777" w:rsidR="00F732D9" w:rsidRPr="00F732D9" w:rsidRDefault="00F732D9" w:rsidP="00F732D9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II.</w:t>
      </w:r>
    </w:p>
    <w:p w14:paraId="6FE003F9" w14:textId="77777777" w:rsidR="00F732D9" w:rsidRPr="00F732D9" w:rsidRDefault="00F732D9" w:rsidP="00F732D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Sastavni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dio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ove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Odluke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je Program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obrazovanja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za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stjecanje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djelomične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kvalifikacije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operativni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djelatnik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za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sigurnost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civilnu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zaštitu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u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odgojno-obrazovnim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ustanovama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/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operativna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djelatnica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za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sigurnost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civilnu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zaštitu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u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odgojno-obrazovnim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ustanovama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iz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točke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I.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ove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Odluke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.</w:t>
      </w:r>
    </w:p>
    <w:p w14:paraId="00054E30" w14:textId="77777777" w:rsidR="00F732D9" w:rsidRPr="00F732D9" w:rsidRDefault="00F732D9" w:rsidP="00F732D9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III.</w:t>
      </w:r>
    </w:p>
    <w:p w14:paraId="66953C1C" w14:textId="77777777" w:rsidR="00F732D9" w:rsidRPr="00F732D9" w:rsidRDefault="00F732D9" w:rsidP="00F732D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Ova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Odluka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stupa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na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snagu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osmoga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dana od dana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objave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u »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Narodnim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</w:t>
      </w:r>
      <w:proofErr w:type="spellStart"/>
      <w:proofErr w:type="gram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novinama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«.</w:t>
      </w:r>
      <w:proofErr w:type="gramEnd"/>
    </w:p>
    <w:p w14:paraId="062FF29E" w14:textId="77777777" w:rsidR="00F732D9" w:rsidRPr="00F732D9" w:rsidRDefault="00F732D9" w:rsidP="00F732D9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Klasa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: 602-07/25-03/00006</w:t>
      </w: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br/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Urbroj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: 533-05-25-0002</w:t>
      </w: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br/>
        <w:t xml:space="preserve">Zagreb, 18.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ožujka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2025.</w:t>
      </w:r>
    </w:p>
    <w:p w14:paraId="787B3CB6" w14:textId="77777777" w:rsidR="00F732D9" w:rsidRPr="00F732D9" w:rsidRDefault="00F732D9" w:rsidP="00F732D9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Ministar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br/>
      </w:r>
      <w:r w:rsidRPr="00F732D9">
        <w:rPr>
          <w:rFonts w:ascii="inherit" w:eastAsia="Times New Roman" w:hAnsi="inherit" w:cs="Times New Roman"/>
          <w:b/>
          <w:bCs/>
          <w:color w:val="231F20"/>
          <w:kern w:val="0"/>
          <w:bdr w:val="none" w:sz="0" w:space="0" w:color="auto" w:frame="1"/>
          <w14:ligatures w14:val="none"/>
        </w:rPr>
        <w:t>prof. dr. sc. Radovan Fuchs, </w:t>
      </w:r>
      <w:r w:rsidRPr="00F732D9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v. r.</w:t>
      </w:r>
    </w:p>
    <w:p w14:paraId="2AD4FD7E" w14:textId="77777777" w:rsidR="00F732D9" w:rsidRPr="00F732D9" w:rsidRDefault="00F732D9" w:rsidP="00F732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14:ligatures w14:val="none"/>
        </w:rPr>
      </w:pPr>
      <w:r w:rsidRPr="00F732D9">
        <w:rPr>
          <w:rFonts w:ascii="inherit" w:eastAsia="Times New Roman" w:hAnsi="inherit" w:cs="Times New Roman"/>
          <w:b/>
          <w:bCs/>
          <w:color w:val="231F20"/>
          <w:kern w:val="0"/>
          <w:sz w:val="26"/>
          <w:szCs w:val="26"/>
          <w:bdr w:val="none" w:sz="0" w:space="0" w:color="auto" w:frame="1"/>
          <w14:ligatures w14:val="none"/>
        </w:rPr>
        <w:t>PROGRAM OBRAZOVANJA ZA STJECANJE DJELOMIČNE KVALIFIKACIJE OPERATIVNI DJELATNIK ZA SIGURNOST I CIVILNU ZAŠTITU U ODGOJNO-OBRAZOVNIM USTANOVAMA / OPERATIVNA DJELATNICA ZA SIGURNOST I CIVILNU ZAŠTITU U ODGOJNO-OBRAZOVNIM USTANOVAMA</w:t>
      </w:r>
    </w:p>
    <w:p w14:paraId="480D897D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14:ligatures w14:val="none"/>
        </w:rPr>
      </w:pPr>
      <w:r w:rsidRPr="00F732D9">
        <w:rPr>
          <w:rFonts w:ascii="inherit" w:eastAsia="Times New Roman" w:hAnsi="inherit" w:cs="Times New Roman"/>
          <w:b/>
          <w:bCs/>
          <w:color w:val="231F20"/>
          <w:kern w:val="0"/>
          <w:sz w:val="26"/>
          <w:szCs w:val="26"/>
          <w:bdr w:val="none" w:sz="0" w:space="0" w:color="auto" w:frame="1"/>
          <w14:ligatures w14:val="none"/>
        </w:rPr>
        <w:t>1. OPĆI DIO</w:t>
      </w: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1899"/>
        <w:gridCol w:w="2910"/>
        <w:gridCol w:w="1152"/>
      </w:tblGrid>
      <w:tr w:rsidR="00F732D9" w:rsidRPr="00F732D9" w14:paraId="4689B144" w14:textId="77777777" w:rsidTr="00F732D9"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05B86" w14:textId="77777777" w:rsidR="00F732D9" w:rsidRPr="00F732D9" w:rsidRDefault="00F732D9" w:rsidP="00F732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OPĆE INFORMACIJE O PROGRAMU OBRAZOVANJA</w:t>
            </w:r>
          </w:p>
          <w:p w14:paraId="6DA3F8B9" w14:textId="77777777" w:rsidR="00F732D9" w:rsidRPr="00F732D9" w:rsidRDefault="00F732D9" w:rsidP="00F732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 STJECANJE DJELOMIČNE KVALIFIKACIJE</w:t>
            </w:r>
          </w:p>
        </w:tc>
      </w:tr>
      <w:tr w:rsidR="00F732D9" w:rsidRPr="00F732D9" w14:paraId="4EC93B9A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25273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Sektor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1C9F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obrana</w:t>
            </w:r>
            <w:proofErr w:type="spellEnd"/>
          </w:p>
          <w:p w14:paraId="3DADC772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2.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sport</w:t>
            </w:r>
          </w:p>
        </w:tc>
      </w:tr>
      <w:tr w:rsidR="00F732D9" w:rsidRPr="00F732D9" w14:paraId="608ECA85" w14:textId="77777777" w:rsidTr="00F732D9"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05EF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 xml:space="preserve">Naziv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programa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7B8F1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Program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djelomične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</w:tc>
      </w:tr>
      <w:tr w:rsidR="00F732D9" w:rsidRPr="00F732D9" w14:paraId="14090B60" w14:textId="77777777" w:rsidTr="00F732D9"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C2968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programa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D537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osposobljavanje</w:t>
            </w:r>
            <w:proofErr w:type="spellEnd"/>
          </w:p>
        </w:tc>
      </w:tr>
      <w:tr w:rsidR="00F732D9" w:rsidRPr="00F732D9" w14:paraId="7EAC249B" w14:textId="77777777" w:rsidTr="00F732D9">
        <w:tc>
          <w:tcPr>
            <w:tcW w:w="4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62C5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Predlagatelj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067A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Naziv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ustanove</w:t>
            </w:r>
            <w:proofErr w:type="spellEnd"/>
          </w:p>
        </w:tc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5BEF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</w:tr>
      <w:tr w:rsidR="00F732D9" w:rsidRPr="00F732D9" w14:paraId="745FE6F6" w14:textId="77777777" w:rsidTr="00F732D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vAlign w:val="bottom"/>
            <w:hideMark/>
          </w:tcPr>
          <w:p w14:paraId="2D053975" w14:textId="77777777" w:rsidR="00F732D9" w:rsidRPr="00F732D9" w:rsidRDefault="00F732D9" w:rsidP="00F732D9">
            <w:pPr>
              <w:spacing w:after="48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A0DC1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Adresa</w:t>
            </w:r>
            <w:proofErr w:type="spellEnd"/>
          </w:p>
        </w:tc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E6D3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</w:tr>
      <w:tr w:rsidR="00F732D9" w:rsidRPr="00F732D9" w14:paraId="3972E525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C565E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Razina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kvalifikacije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(ova)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prema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HKO-u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FA165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 4 HKO-a</w:t>
            </w:r>
          </w:p>
          <w:p w14:paraId="0636BD74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1: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3 HKO-a)</w:t>
            </w:r>
          </w:p>
          <w:p w14:paraId="7D0EBC1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2: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4 HKO-a)</w:t>
            </w:r>
          </w:p>
          <w:p w14:paraId="3951C978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3: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4 HKO-a)</w:t>
            </w:r>
          </w:p>
          <w:p w14:paraId="11AACCA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4: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4 HKO-a)</w:t>
            </w:r>
          </w:p>
          <w:p w14:paraId="6079BDC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5: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4 HKO-a)</w:t>
            </w:r>
          </w:p>
        </w:tc>
      </w:tr>
      <w:tr w:rsidR="00F732D9" w:rsidRPr="00F732D9" w14:paraId="344FF4F9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D9276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Obujam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bodovima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(CSVET)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8806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10 CSVET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bodova</w:t>
            </w:r>
            <w:proofErr w:type="spellEnd"/>
          </w:p>
          <w:p w14:paraId="4DE39AF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1: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  <w:p w14:paraId="2FBD70D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2: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  <w:p w14:paraId="119DCF68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3: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(6 CSVET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bodova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</w:t>
            </w:r>
          </w:p>
          <w:p w14:paraId="6E2A753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4: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  <w:p w14:paraId="6DDF8DCD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5: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</w:tc>
      </w:tr>
      <w:tr w:rsidR="00F732D9" w:rsidRPr="00F732D9" w14:paraId="133619C5" w14:textId="77777777" w:rsidTr="00F732D9"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5C5E7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Dokumenti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kojih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izrađen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program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skupova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mikrokvalifikacija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</w:t>
            </w:r>
          </w:p>
        </w:tc>
      </w:tr>
      <w:tr w:rsidR="00F732D9" w:rsidRPr="00F732D9" w14:paraId="1D6F1C53" w14:textId="77777777" w:rsidTr="00F732D9"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74EF2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standarda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zanimanja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skupova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kompetencija</w:t>
            </w:r>
            <w:proofErr w:type="spellEnd"/>
          </w:p>
        </w:tc>
        <w:tc>
          <w:tcPr>
            <w:tcW w:w="4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C4C1D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standarda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skupovi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30E934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Sektorski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kurikulum</w:t>
            </w:r>
            <w:proofErr w:type="spellEnd"/>
          </w:p>
        </w:tc>
      </w:tr>
      <w:tr w:rsidR="00F732D9" w:rsidRPr="00F732D9" w14:paraId="78F3EBF0" w14:textId="77777777" w:rsidTr="00F732D9"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E6AFA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SZ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Policajac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policajka</w:t>
            </w:r>
            <w:proofErr w:type="spellEnd"/>
          </w:p>
          <w:p w14:paraId="3A7AD5F5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https://hko.srce.hr/registar/standard-zanimanja/detalji/36</w:t>
            </w:r>
          </w:p>
          <w:p w14:paraId="156EE961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SKOMP 1: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instruktivne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</w:p>
          <w:p w14:paraId="5AFBEBC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https://hko.srce.hr/registar/skup-kompetencija/detalji/322</w:t>
            </w:r>
          </w:p>
          <w:p w14:paraId="0D9029D3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SKOMP 2: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policijski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procesi</w:t>
            </w:r>
            <w:proofErr w:type="spellEnd"/>
          </w:p>
          <w:p w14:paraId="6EA14DE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https://hko.srce.hr/registar/skup-kompetencija/detalji/319</w:t>
            </w:r>
          </w:p>
          <w:p w14:paraId="3D369758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SKOMP 3: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Informacijsko-komunikacijske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tehnologije</w:t>
            </w:r>
            <w:proofErr w:type="spellEnd"/>
          </w:p>
        </w:tc>
        <w:tc>
          <w:tcPr>
            <w:tcW w:w="47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8F1B1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SK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  <w:p w14:paraId="593D14A0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https://hko.srce.hr/registar/standard-kvalifikacije/detalji/588</w:t>
            </w:r>
          </w:p>
          <w:p w14:paraId="174D2BBF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SIU 1: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https://hko.srce.hr/registar/skup-ishoda-ucenja/detalji/15929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40E44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</w:p>
        </w:tc>
      </w:tr>
      <w:tr w:rsidR="00F732D9" w:rsidRPr="00F732D9" w14:paraId="2A9E4C99" w14:textId="77777777" w:rsidTr="00F732D9">
        <w:tc>
          <w:tcPr>
            <w:tcW w:w="4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F60F4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https://hko.srce.hr/registar/skup-kompetencija/detalji/324</w:t>
            </w:r>
          </w:p>
          <w:p w14:paraId="232759C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SZ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posrednik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posrednica</w:t>
            </w:r>
            <w:proofErr w:type="spellEnd"/>
          </w:p>
          <w:p w14:paraId="37AB87F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https://hko.srce.hr/registar/standard-zanimanja/detalji/78</w:t>
            </w:r>
          </w:p>
          <w:p w14:paraId="4A8C3825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SKOMP 4: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Rad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okruženju</w:t>
            </w:r>
            <w:proofErr w:type="spellEnd"/>
          </w:p>
          <w:p w14:paraId="0052B15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https://hko.srce.hr/registar/skup-kompetencija/detalji/685</w:t>
            </w:r>
          </w:p>
          <w:p w14:paraId="7F6B3963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SZ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zaštitarka</w:t>
            </w:r>
            <w:proofErr w:type="spellEnd"/>
          </w:p>
          <w:p w14:paraId="4F858DC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https://hko.srce.hr/registar/standard-zanimanja/detalji/220</w:t>
            </w:r>
          </w:p>
          <w:p w14:paraId="519D6C2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SKOMP 5: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pružanju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usluga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tjelesne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imovine</w:t>
            </w:r>
            <w:proofErr w:type="spellEnd"/>
          </w:p>
          <w:p w14:paraId="1F4AF1F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https://hko.srce.hr/registar/skup-kompetencija/detalji/1878</w:t>
            </w:r>
          </w:p>
          <w:p w14:paraId="1931ED8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SZ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Pomoćnik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pomoćnica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nastavi</w:t>
            </w:r>
            <w:proofErr w:type="spellEnd"/>
          </w:p>
          <w:p w14:paraId="2B72D2A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SKOMP 6: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zdravstvena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teškoćama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razvoju</w:t>
            </w:r>
            <w:proofErr w:type="spellEnd"/>
          </w:p>
          <w:p w14:paraId="6F080C62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https://hko.srce.hr/registar/skup-kompetencija/detalji/772</w:t>
            </w:r>
          </w:p>
          <w:p w14:paraId="22D002E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SZ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Kućni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majstor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–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domar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kućna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majstorica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–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domarka</w:t>
            </w:r>
            <w:proofErr w:type="spellEnd"/>
          </w:p>
          <w:p w14:paraId="210B9EE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https://hko.srce.hr/registar/standard-zanimanja/detalji/171</w:t>
            </w:r>
          </w:p>
          <w:p w14:paraId="55DBAEA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SKOMP 7: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okoliša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kućnog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majstora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–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domara</w:t>
            </w:r>
            <w:proofErr w:type="spellEnd"/>
          </w:p>
          <w:p w14:paraId="67C71E7E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https://hko.srce.hr/registar/skup-kompetencija/detalji/1497</w:t>
            </w:r>
          </w:p>
        </w:tc>
        <w:tc>
          <w:tcPr>
            <w:tcW w:w="47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9B6F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SIU 2: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  <w:p w14:paraId="0D1D10D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https://hko.srce.hr/registar/skup-ishoda-ucenja/detalji/15930</w:t>
            </w:r>
          </w:p>
          <w:p w14:paraId="2F1C3CF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SIU 3: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https://hko.srce.hr/registar/skup-ishoda-ucenja/detalji/15931</w:t>
            </w:r>
          </w:p>
          <w:p w14:paraId="695C557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SIU 4: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https://hko.srce.hr/registar/skup-ishoda-ucenja/detalji/15932</w:t>
            </w:r>
          </w:p>
          <w:p w14:paraId="16472F0A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SIU 5: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https://hko.srce.hr/registar/skup-ishoda-ucenja/detalji/15933</w:t>
            </w:r>
          </w:p>
        </w:tc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45BB0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</w:p>
        </w:tc>
      </w:tr>
      <w:tr w:rsidR="00F732D9" w:rsidRPr="00F732D9" w14:paraId="09AF3945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D655F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Uvjeti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u program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6B48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posjedovanje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minimalno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4.2 HKO-a</w:t>
            </w:r>
          </w:p>
          <w:p w14:paraId="4C5919D4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hrvatsko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državljanstvo</w:t>
            </w:r>
            <w:proofErr w:type="spellEnd"/>
          </w:p>
          <w:p w14:paraId="1140B1F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prijavljeno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prebivalište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Republici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Hrvatskoj</w:t>
            </w:r>
            <w:proofErr w:type="spellEnd"/>
          </w:p>
          <w:p w14:paraId="79F8CD7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navršenih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18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godina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početka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obrazovanja</w:t>
            </w:r>
            <w:proofErr w:type="spellEnd"/>
          </w:p>
          <w:p w14:paraId="58EF1B8E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posebna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psihička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tjelesna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zdravstvena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sposobnost</w:t>
            </w:r>
            <w:proofErr w:type="spellEnd"/>
          </w:p>
          <w:p w14:paraId="680101CE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dostojnost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</w:p>
        </w:tc>
      </w:tr>
      <w:tr w:rsidR="00F732D9" w:rsidRPr="00F732D9" w14:paraId="66B236B9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4C218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Uvjeti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stjecanja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programa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završetka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programa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6C4C5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10 CSVET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bodova</w:t>
            </w:r>
            <w:proofErr w:type="spellEnd"/>
          </w:p>
          <w:p w14:paraId="67B7A04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Uspješna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završna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znanja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odgovornosti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0A8D3836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završnoj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zapisnik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tročlano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povjerenstvo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Svakom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nakon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uspješno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završene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izdaje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 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Uvjerenje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osposobljavanju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djelomične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6A4B7A86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A3F81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Trajanje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izvođenja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nastave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33211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Program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djelomične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(u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daljnjem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tekstu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)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redovitom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trajanju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 </w:t>
            </w: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250 sati,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mogućnost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izvođenja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teorijskog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dijela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putem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online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prijenosa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stvarnom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vremenu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6FF4C03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Program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imaju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registriranu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odraslih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ispunjavaju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Zakonom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odraslih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B7E081F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vođenim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/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trajanju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 </w:t>
            </w: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60 sati,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trajanju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 </w:t>
            </w: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115 sati,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dijelom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samostalnim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aktivnostima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trajanju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 </w:t>
            </w: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75 sati.</w:t>
            </w:r>
          </w:p>
          <w:p w14:paraId="4D0A4B8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odnosno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sudjelovanjem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izvršenju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konkretnih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zadaća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stvarnim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simuliranim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uvjetima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osposobljava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isključivo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F0051B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potiče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razvijanje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samostalnosti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odgovornosti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izvršenju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zadaća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razvijanje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suradničkih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odnosa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ostalim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sudionicima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zajedničkom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1A8C1AB9" w14:textId="77777777" w:rsidTr="00F732D9">
        <w:tc>
          <w:tcPr>
            <w:tcW w:w="4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8447D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</w:p>
        </w:tc>
        <w:tc>
          <w:tcPr>
            <w:tcW w:w="58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8592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Osposobljavanje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djelomične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obuhvaća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</w:t>
            </w:r>
          </w:p>
          <w:p w14:paraId="6E605294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propisanih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a koji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nužni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kompetencija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  <w:p w14:paraId="004CE0D2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kognitivnih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praktičnih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socijalnih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jačanje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samostalnosti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odgovornosti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nepredvidivim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odnose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  <w:p w14:paraId="20597EE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organizacijskih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2465461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stvarnog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života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provođenju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zadataka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kompetencija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stvarnom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potiče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asertivnost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razvijanje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suradničkih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odnosa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ostalim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zajedničkom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razvijanje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samostalnosti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odgovornosti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donošenje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odluka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očekuje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sudjelovanje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postignutih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redovito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pohađanje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5C3FE6F5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Također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očekuje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kreativnost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odgovornost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suvremenih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tehnologija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29A55AAB" w14:textId="77777777" w:rsidTr="00F732D9"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9FD4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Horizontalna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prohodnost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57C7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</w:p>
        </w:tc>
      </w:tr>
      <w:tr w:rsidR="00F732D9" w:rsidRPr="00F732D9" w14:paraId="515442D8" w14:textId="77777777" w:rsidTr="00F732D9"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41FB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Vertikalna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prohodnost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2C31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</w:p>
        </w:tc>
      </w:tr>
      <w:tr w:rsidR="00F732D9" w:rsidRPr="00F732D9" w14:paraId="50C7CC2C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5365B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Materijalni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uvjeti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okruženje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koji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potrebni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izvedbu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programa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30B62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Standardna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učionica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računalom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osiguranim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pristupom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internetu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projektor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zaslon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knjižnica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sportska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dvorana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2FE8B600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Oprema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računala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projektor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daljinski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pokazivač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literatura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lingvometodički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pisani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materijali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tiskani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materijali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tematski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filmovi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–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lisice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raspršivači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dozvoljenim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neškodljivim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tvarima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pružanje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0D9ADA2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https://hko.srce.hr/registar/skup-ishoda-ucenja/detalji/15929</w:t>
            </w:r>
          </w:p>
          <w:p w14:paraId="08B077FE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https://hko.srce.hr/registar/skup-ishoda-ucenja/detalji/15930</w:t>
            </w:r>
          </w:p>
          <w:p w14:paraId="74F812F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https://hko.srce.hr/registar/skup-ishoda-ucenja/detalji/15931</w:t>
            </w:r>
          </w:p>
          <w:p w14:paraId="6BFCFA80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https://hko.srce.hr/registar/skup-ishoda-ucenja/detalji/15932</w:t>
            </w:r>
          </w:p>
          <w:p w14:paraId="6323001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https://hko.srce.hr/registar/skup-ishoda-ucenja/detalji/15933</w:t>
            </w:r>
          </w:p>
        </w:tc>
      </w:tr>
      <w:tr w:rsidR="00F732D9" w:rsidRPr="00F732D9" w14:paraId="76A8C762" w14:textId="77777777" w:rsidTr="00F732D9"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08EF3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Kompetencije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programom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stječu</w:t>
            </w:r>
            <w:proofErr w:type="spellEnd"/>
          </w:p>
        </w:tc>
      </w:tr>
      <w:tr w:rsidR="00F732D9" w:rsidRPr="00F732D9" w14:paraId="5D196DD5" w14:textId="77777777" w:rsidTr="00F732D9"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5E2E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Poznavati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službene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obrasce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taktike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nastalih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konflikata</w:t>
            </w:r>
            <w:proofErr w:type="spellEnd"/>
          </w:p>
          <w:p w14:paraId="4B0E8BC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2.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Poznavati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službene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obrasce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taktike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pregovaranja</w:t>
            </w:r>
            <w:proofErr w:type="spellEnd"/>
          </w:p>
          <w:p w14:paraId="08149B80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3.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moguće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naprave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osiguranja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objekata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prostora</w:t>
            </w:r>
            <w:proofErr w:type="spellEnd"/>
          </w:p>
          <w:p w14:paraId="199E20F2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4.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informacijsko-komunikacijsku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tehnologiju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objekata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prostora</w:t>
            </w:r>
            <w:proofErr w:type="spellEnd"/>
          </w:p>
          <w:p w14:paraId="6262942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5.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Poznavati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škole</w:t>
            </w:r>
            <w:proofErr w:type="spellEnd"/>
          </w:p>
          <w:p w14:paraId="7ADB0E8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6.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Poznavati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djelokrug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pojedinih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škole</w:t>
            </w:r>
            <w:proofErr w:type="spellEnd"/>
          </w:p>
          <w:p w14:paraId="40CA751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7.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Primjenjivati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</w:p>
          <w:p w14:paraId="31FAD7F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8.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identitet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sukladno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</w:p>
          <w:p w14:paraId="7F3CB63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9.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prometna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sukladno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</w:p>
          <w:p w14:paraId="5727236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10. Dati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upozorenje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zapovijed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sukladno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</w:p>
          <w:p w14:paraId="13856AD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11.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Privremeno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ograničiti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kretanje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propisima</w:t>
            </w:r>
            <w:proofErr w:type="spellEnd"/>
          </w:p>
          <w:p w14:paraId="0060F78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12.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upotrijebiti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tjelesnu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snagu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sukladno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</w:p>
          <w:p w14:paraId="2304B0B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13.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Poznavati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pružanja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pomoći</w:t>
            </w:r>
            <w:proofErr w:type="spellEnd"/>
          </w:p>
          <w:p w14:paraId="05FC1894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14.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vršnjačko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nasilja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slučajevima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uočavanja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nasilja</w:t>
            </w:r>
            <w:proofErr w:type="spellEnd"/>
          </w:p>
          <w:p w14:paraId="33479B3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15.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svakodnevnom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</w:p>
        </w:tc>
      </w:tr>
      <w:tr w:rsidR="00F732D9" w:rsidRPr="00F732D9" w14:paraId="595BCB29" w14:textId="77777777" w:rsidTr="00F732D9"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765B6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lastRenderedPageBreak/>
              <w:t>Preporučeni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praćenja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kvalitete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uspješnosti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izvedbe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programa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5CF15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praćenja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kvalitete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uspješnosti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provedbe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sljedeće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</w:t>
            </w:r>
          </w:p>
          <w:p w14:paraId="0F863BE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–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anonimno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anketiranje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izvođenju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literaturi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resursima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strategijama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podrške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izvođenju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unapređenju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opterećenju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(CSVET),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znanja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nastavnicima</w:t>
            </w:r>
            <w:proofErr w:type="spellEnd"/>
          </w:p>
          <w:p w14:paraId="2BB526F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–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anketiranje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pitanjima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prethodnoj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stavci</w:t>
            </w:r>
            <w:proofErr w:type="spellEnd"/>
          </w:p>
          <w:p w14:paraId="5FA4E35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–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analiza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uspjeha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transparentnosti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objektivnosti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ostvarenosti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53B1717E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Na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rezultata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anketa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uspješnosti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izvedbe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postignuća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procjena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kvalitete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nastavničkog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6F3C758F" w14:textId="77777777" w:rsidTr="00F732D9"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DBC50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Datum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revizije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programa</w:t>
            </w:r>
            <w:proofErr w:type="spellEnd"/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E096E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D76DC6B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br/>
      </w:r>
    </w:p>
    <w:p w14:paraId="53F2DD3F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</w:p>
    <w:p w14:paraId="271E94C7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</w:p>
    <w:p w14:paraId="5B3E566E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14:ligatures w14:val="none"/>
        </w:rPr>
      </w:pPr>
      <w:r w:rsidRPr="00F732D9">
        <w:rPr>
          <w:rFonts w:ascii="inherit" w:eastAsia="Times New Roman" w:hAnsi="inherit" w:cs="Times New Roman"/>
          <w:b/>
          <w:bCs/>
          <w:color w:val="231F20"/>
          <w:kern w:val="0"/>
          <w:sz w:val="26"/>
          <w:szCs w:val="26"/>
          <w:bdr w:val="none" w:sz="0" w:space="0" w:color="auto" w:frame="1"/>
          <w14:ligatures w14:val="none"/>
        </w:rPr>
        <w:t>2. MODULI I SKUPOVI ISHODA UČENJA</w:t>
      </w: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435"/>
        <w:gridCol w:w="3135"/>
        <w:gridCol w:w="820"/>
        <w:gridCol w:w="911"/>
        <w:gridCol w:w="649"/>
        <w:gridCol w:w="548"/>
        <w:gridCol w:w="513"/>
        <w:gridCol w:w="965"/>
      </w:tblGrid>
      <w:tr w:rsidR="00F732D9" w:rsidRPr="00F732D9" w14:paraId="7D0E79A3" w14:textId="77777777" w:rsidTr="00F732D9"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6A663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Redni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broj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9D113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NAZIV MODULA</w:t>
            </w:r>
          </w:p>
        </w:tc>
        <w:tc>
          <w:tcPr>
            <w:tcW w:w="2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686B7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POPIS SKUPOVA ISHODA UČENJA</w:t>
            </w: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B0465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453C3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Obujam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CSVET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E14BD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Broj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sati</w:t>
            </w:r>
          </w:p>
        </w:tc>
      </w:tr>
      <w:tr w:rsidR="00F732D9" w:rsidRPr="00F732D9" w14:paraId="4F6D492F" w14:textId="77777777" w:rsidTr="00F732D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vAlign w:val="bottom"/>
            <w:hideMark/>
          </w:tcPr>
          <w:p w14:paraId="2F5D6065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vAlign w:val="bottom"/>
            <w:hideMark/>
          </w:tcPr>
          <w:p w14:paraId="2C47D809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vAlign w:val="bottom"/>
            <w:hideMark/>
          </w:tcPr>
          <w:p w14:paraId="5B37A6D6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vAlign w:val="bottom"/>
            <w:hideMark/>
          </w:tcPr>
          <w:p w14:paraId="01084A38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vAlign w:val="bottom"/>
            <w:hideMark/>
          </w:tcPr>
          <w:p w14:paraId="3613FE17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79797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VPUP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F5BFE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UTR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8D478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SAP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BFE74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UKUPNO</w:t>
            </w:r>
          </w:p>
        </w:tc>
      </w:tr>
      <w:tr w:rsidR="00F732D9" w:rsidRPr="00F732D9" w14:paraId="6E5FC96D" w14:textId="77777777" w:rsidTr="00F732D9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E6F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D6DE3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D60D3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 I CIVILNA ZAŠTITA U ODGOJ</w:t>
            </w: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softHyphen/>
              <w:t>NO-OB</w:t>
            </w: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softHyphen/>
              <w:t>RAZOVNIM USTANOVAMA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863C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9B7EB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01834C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6B4AF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E4849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7E087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D7AE0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25</w:t>
            </w:r>
          </w:p>
        </w:tc>
      </w:tr>
      <w:tr w:rsidR="00F732D9" w:rsidRPr="00F732D9" w14:paraId="0BE7BA44" w14:textId="77777777" w:rsidTr="00F732D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BF4392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902450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DD6A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15482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3D8C3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FB35D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0E0CE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D3FDD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7D309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25</w:t>
            </w:r>
          </w:p>
        </w:tc>
      </w:tr>
      <w:tr w:rsidR="00F732D9" w:rsidRPr="00F732D9" w14:paraId="46980902" w14:textId="77777777" w:rsidTr="00F732D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E18CCE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E3AD54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37F8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917BD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05DB0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71357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DA162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50FF5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2154D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150</w:t>
            </w:r>
          </w:p>
        </w:tc>
      </w:tr>
      <w:tr w:rsidR="00F732D9" w:rsidRPr="00F732D9" w14:paraId="04B06F67" w14:textId="77777777" w:rsidTr="00F732D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9E69FE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550E10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95F04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F092C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FCC67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16914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9000E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3E01E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9C03A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25</w:t>
            </w:r>
          </w:p>
        </w:tc>
      </w:tr>
      <w:tr w:rsidR="00F732D9" w:rsidRPr="00F732D9" w14:paraId="3C138165" w14:textId="77777777" w:rsidTr="00F732D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AE7F55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57D391" w14:textId="77777777" w:rsidR="00F732D9" w:rsidRPr="00F732D9" w:rsidRDefault="00F732D9" w:rsidP="00F732D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C4CE7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EEAA0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BB225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E3439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62F12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8A081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23BF9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25</w:t>
            </w:r>
          </w:p>
        </w:tc>
      </w:tr>
      <w:tr w:rsidR="00F732D9" w:rsidRPr="00F732D9" w14:paraId="209E0A60" w14:textId="77777777" w:rsidTr="00F732D9">
        <w:tc>
          <w:tcPr>
            <w:tcW w:w="6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7D38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Ukupno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B126C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EA968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5AB1C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115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23115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1B949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250</w:t>
            </w:r>
          </w:p>
        </w:tc>
      </w:tr>
    </w:tbl>
    <w:p w14:paraId="6A00CB15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br/>
      </w:r>
    </w:p>
    <w:p w14:paraId="3B7BC609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</w:pPr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VPUP –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vođeni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proces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učenja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i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poučavanja</w:t>
      </w:r>
      <w:proofErr w:type="spellEnd"/>
    </w:p>
    <w:p w14:paraId="16692635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</w:pPr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UTR –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učenje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temeljeno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na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radu</w:t>
      </w:r>
      <w:proofErr w:type="spellEnd"/>
    </w:p>
    <w:p w14:paraId="5AEB780C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</w:pPr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SAP –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samostalne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aktivnosti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polaznika</w:t>
      </w:r>
      <w:proofErr w:type="spellEnd"/>
    </w:p>
    <w:p w14:paraId="1669586D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14:ligatures w14:val="none"/>
        </w:rPr>
      </w:pPr>
      <w:r w:rsidRPr="00F732D9">
        <w:rPr>
          <w:rFonts w:ascii="inherit" w:eastAsia="Times New Roman" w:hAnsi="inherit" w:cs="Times New Roman"/>
          <w:b/>
          <w:bCs/>
          <w:color w:val="231F20"/>
          <w:kern w:val="0"/>
          <w:sz w:val="26"/>
          <w:szCs w:val="26"/>
          <w:bdr w:val="none" w:sz="0" w:space="0" w:color="auto" w:frame="1"/>
          <w14:ligatures w14:val="none"/>
        </w:rPr>
        <w:t>3. RAZRADA MODULA I SKUPOVA ISHODA UČENJA</w:t>
      </w: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2944"/>
        <w:gridCol w:w="2659"/>
        <w:gridCol w:w="2694"/>
      </w:tblGrid>
      <w:tr w:rsidR="00F732D9" w:rsidRPr="00F732D9" w14:paraId="2931F191" w14:textId="77777777" w:rsidTr="00F732D9"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20EE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NAZIV MODULA</w:t>
            </w:r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3CFA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 I CIVILNA ZAŠTITA U ODGOJNO-OBRAZOVNIM USTANOVAMA</w:t>
            </w:r>
          </w:p>
        </w:tc>
      </w:tr>
      <w:tr w:rsidR="00F732D9" w:rsidRPr="00F732D9" w14:paraId="1981414A" w14:textId="77777777" w:rsidTr="00F732D9"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0D0E7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Šifra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modula</w:t>
            </w:r>
            <w:proofErr w:type="spellEnd"/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1777A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</w:tr>
      <w:tr w:rsidR="00F732D9" w:rsidRPr="00F732D9" w14:paraId="2A7B5737" w14:textId="77777777" w:rsidTr="00F732D9"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26FAE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lastRenderedPageBreak/>
              <w:t>Kvalifikacije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nastavnika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koji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sudjeluju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realizaciji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modula</w:t>
            </w:r>
            <w:proofErr w:type="spellEnd"/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317B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https://hko.srce.hr/registar/skup-ishoda-ucenja/detalji/15929</w:t>
            </w:r>
          </w:p>
          <w:p w14:paraId="506289F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https://hko.srce.hr/registar/skup-ishoda-ucenja/detalji/15930</w:t>
            </w:r>
          </w:p>
          <w:p w14:paraId="6F53E6E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https://hko.srce.hr/registar/skup-ishoda-ucenja/detalji/15931</w:t>
            </w:r>
          </w:p>
          <w:p w14:paraId="00CE16C5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https://hko.srce.hr/registar/skup-ishoda-ucenja/detalji/15932</w:t>
            </w:r>
          </w:p>
          <w:p w14:paraId="7D4C37F0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https://hko.srce.hr/registar/skup-ishoda-ucenja/detalji/15933</w:t>
            </w:r>
          </w:p>
          <w:p w14:paraId="700AF11D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Kadrovski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</w:t>
            </w:r>
          </w:p>
          <w:p w14:paraId="6ED0E5B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najmanje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7.1.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7.1.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HKO-a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odgovarajućeg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profila</w:t>
            </w:r>
            <w:proofErr w:type="spellEnd"/>
          </w:p>
          <w:p w14:paraId="5F0A5568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SIU-e: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–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najmanje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4.2 HKO-a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odgovarajućeg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profila</w:t>
            </w:r>
            <w:proofErr w:type="spellEnd"/>
          </w:p>
        </w:tc>
      </w:tr>
      <w:tr w:rsidR="00F732D9" w:rsidRPr="00F732D9" w14:paraId="36617269" w14:textId="77777777" w:rsidTr="00F732D9"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DAA0D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Obujam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modula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(CSVET)</w:t>
            </w:r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1A31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10 CSVET-a</w:t>
            </w:r>
          </w:p>
          <w:p w14:paraId="0ADA988D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1: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  <w:p w14:paraId="7F1B21F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2: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  <w:p w14:paraId="4EF35BF8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3: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(6 CSVET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bodova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</w:t>
            </w:r>
          </w:p>
          <w:p w14:paraId="691C258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4: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  <w:p w14:paraId="77D80C6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SIU 5: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 CSVET bod)</w:t>
            </w:r>
          </w:p>
        </w:tc>
      </w:tr>
      <w:tr w:rsidR="00F732D9" w:rsidRPr="00F732D9" w14:paraId="1F65D850" w14:textId="77777777" w:rsidTr="00F732D9"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F04A1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(od – do,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postotak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7033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Vođeni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A3AF4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Oblici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48818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Samostalne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aktivnosti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</w:p>
        </w:tc>
      </w:tr>
      <w:tr w:rsidR="00F732D9" w:rsidRPr="00F732D9" w14:paraId="1B5E7847" w14:textId="77777777" w:rsidTr="00F732D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283581" w14:textId="77777777" w:rsidR="00F732D9" w:rsidRPr="00F732D9" w:rsidRDefault="00F732D9" w:rsidP="00F732D9">
            <w:pPr>
              <w:spacing w:after="48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9516F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60 sati (24 %)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5D24F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115 sati (46 %)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2095F" w14:textId="77777777" w:rsidR="00F732D9" w:rsidRPr="00F732D9" w:rsidRDefault="00F732D9" w:rsidP="00F73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75 sati (30 %)</w:t>
            </w:r>
          </w:p>
        </w:tc>
      </w:tr>
      <w:tr w:rsidR="00F732D9" w:rsidRPr="00F732D9" w14:paraId="792F25CE" w14:textId="77777777" w:rsidTr="00F732D9"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8EB8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Status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modula</w:t>
            </w:r>
            <w:proofErr w:type="spellEnd"/>
          </w:p>
          <w:p w14:paraId="2CB04235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obvezni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izborni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8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8AC85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obvezni</w:t>
            </w:r>
            <w:proofErr w:type="spellEnd"/>
          </w:p>
        </w:tc>
      </w:tr>
      <w:tr w:rsidR="00F732D9" w:rsidRPr="00F732D9" w14:paraId="78537A36" w14:textId="77777777" w:rsidTr="00F732D9"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A5895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Cilj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)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modula</w:t>
            </w:r>
            <w:proofErr w:type="spellEnd"/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51E2E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Cilj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modula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omogućiti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znanja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potrebnih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profesionalno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sukladno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zakonskim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odredbama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pravilima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Po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završetku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modula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osposobljeni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poštujući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dostojanstvo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ugled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čast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svake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7D2A77A9" w14:textId="77777777" w:rsidTr="00F732D9"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46FF7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Ključni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pojmovi</w:t>
            </w:r>
            <w:proofErr w:type="spellEnd"/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8246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specifičnosti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znakovi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neprihvatljivog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mirno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sukoba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otpor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tjelesna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snaga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raspršivač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neškodljivom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dozvoljenom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tvari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vezivanje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izvješće</w:t>
            </w:r>
            <w:proofErr w:type="spellEnd"/>
          </w:p>
        </w:tc>
      </w:tr>
      <w:tr w:rsidR="00F732D9" w:rsidRPr="00F732D9" w14:paraId="2EDB1DAF" w14:textId="77777777" w:rsidTr="00F732D9"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D7738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Oblici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temeljenog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radu</w:t>
            </w:r>
            <w:proofErr w:type="spellEnd"/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37DA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</w:t>
            </w:r>
          </w:p>
          <w:p w14:paraId="1CC949FD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integrirano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specijaliziranim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prostorima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simuliranim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objektima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)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</w:p>
          <w:p w14:paraId="7128373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gdje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ograničenom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obujmu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sudjeluju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kontroliranim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uvjetima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mentora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Rad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programa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strukovnog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osposobljavanja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koji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formalne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kvalifikacije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57DC670D" w14:textId="77777777" w:rsidTr="00F732D9"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EA136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Literatura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specifična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potrebna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realizaciju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modula</w:t>
            </w:r>
            <w:proofErr w:type="spellEnd"/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B57E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obrazovanju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srednjoj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školi</w:t>
            </w:r>
            <w:proofErr w:type="spellEnd"/>
          </w:p>
          <w:p w14:paraId="2078171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Statut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škole</w:t>
            </w:r>
            <w:proofErr w:type="spellEnd"/>
          </w:p>
          <w:p w14:paraId="3A1B26B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Kućni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red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škole</w:t>
            </w:r>
            <w:proofErr w:type="spellEnd"/>
          </w:p>
          <w:p w14:paraId="3EA95EB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kodeks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ustanove</w:t>
            </w:r>
            <w:proofErr w:type="spellEnd"/>
          </w:p>
          <w:p w14:paraId="02A3BF0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Kazneni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zakon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RH</w:t>
            </w:r>
          </w:p>
          <w:p w14:paraId="5EE4C8A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kaznenom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postupku</w:t>
            </w:r>
            <w:proofErr w:type="spellEnd"/>
          </w:p>
          <w:p w14:paraId="09F3CA8E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Prekršajni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zakon</w:t>
            </w:r>
            <w:proofErr w:type="spellEnd"/>
          </w:p>
          <w:p w14:paraId="68AE600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sudovima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mladež</w:t>
            </w:r>
            <w:proofErr w:type="spellEnd"/>
          </w:p>
          <w:p w14:paraId="04A7FB51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prekršajima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protiv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javnog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mira</w:t>
            </w:r>
            <w:proofErr w:type="spellEnd"/>
          </w:p>
          <w:p w14:paraId="3B60FA10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privatnoj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zaštiti</w:t>
            </w:r>
            <w:proofErr w:type="spellEnd"/>
          </w:p>
          <w:p w14:paraId="1266150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</w:p>
          <w:p w14:paraId="71415F84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</w:p>
          <w:p w14:paraId="73FA5112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Zakon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</w:p>
          <w:p w14:paraId="65052522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literatura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skupova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</w:p>
          <w:p w14:paraId="116E847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−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literatura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ostalih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skupova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</w:tbl>
    <w:p w14:paraId="3D6A42CD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lastRenderedPageBreak/>
        <w:br/>
      </w:r>
    </w:p>
    <w:p w14:paraId="30918D96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73"/>
        <w:gridCol w:w="8303"/>
      </w:tblGrid>
      <w:tr w:rsidR="00F732D9" w:rsidRPr="00F732D9" w14:paraId="1CA4CC9D" w14:textId="77777777" w:rsidTr="00F732D9"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1888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SK-a,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obujam</w:t>
            </w:r>
            <w:proofErr w:type="spellEnd"/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FCFD3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, 1 CSVET bod</w:t>
            </w:r>
          </w:p>
        </w:tc>
      </w:tr>
      <w:tr w:rsidR="00F732D9" w:rsidRPr="00F732D9" w14:paraId="3452EC59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A595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37842BDD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1E89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specifičnosti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</w:p>
        </w:tc>
      </w:tr>
      <w:tr w:rsidR="00F732D9" w:rsidRPr="00F732D9" w14:paraId="0DF3EE79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39CD1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2.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znakove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neprihvatljivog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</w:p>
        </w:tc>
      </w:tr>
      <w:tr w:rsidR="00F732D9" w:rsidRPr="00F732D9" w14:paraId="2527FEA3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044B0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3.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granice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neprihvatljivog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</w:p>
        </w:tc>
      </w:tr>
      <w:tr w:rsidR="00F732D9" w:rsidRPr="00F732D9" w14:paraId="33163A85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07FD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4.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znakove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koji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predstavljaju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potencijalnu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ugrozu</w:t>
            </w:r>
            <w:proofErr w:type="spellEnd"/>
          </w:p>
        </w:tc>
      </w:tr>
      <w:tr w:rsidR="00F732D9" w:rsidRPr="00F732D9" w14:paraId="1E55C930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FD61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5.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Uočiti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odstupanja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posljedica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različitih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teškoća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tipičnog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</w:p>
        </w:tc>
      </w:tr>
      <w:tr w:rsidR="00F732D9" w:rsidRPr="00F732D9" w14:paraId="078AD370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4082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6.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Objasniti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važnost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mirnog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sukoba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donošenja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odluka</w:t>
            </w:r>
            <w:proofErr w:type="spellEnd"/>
          </w:p>
        </w:tc>
      </w:tr>
      <w:tr w:rsidR="00F732D9" w:rsidRPr="00F732D9" w14:paraId="299C2F17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E136D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Dominantan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SIU</w:t>
            </w:r>
          </w:p>
        </w:tc>
      </w:tr>
      <w:tr w:rsidR="00F732D9" w:rsidRPr="00F732D9" w14:paraId="13243E80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74DC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izvođenja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koji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često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kombiniraju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izmjenjuju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6400F0D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koriste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usmenog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izlaganja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rad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tekstu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izrada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mentalnih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digitalnih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prezentacija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internetu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interaktivni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kvizovi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listići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razgovor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diskusija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065A2B55" w14:textId="77777777" w:rsidTr="00F732D9"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E7888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cjeline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teme</w:t>
            </w:r>
            <w:proofErr w:type="spellEnd"/>
          </w:p>
        </w:tc>
        <w:tc>
          <w:tcPr>
            <w:tcW w:w="8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2F6E9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okviru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</w:t>
            </w:r>
            <w:proofErr w:type="spellEnd"/>
          </w:p>
          <w:p w14:paraId="24272C1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</w:p>
          <w:p w14:paraId="0DD2B02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Specifičnosti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</w:p>
          <w:p w14:paraId="66BD1E3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Svjesnost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različitosti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</w:p>
          <w:p w14:paraId="003DE1F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Rizična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</w:p>
          <w:p w14:paraId="61130929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Učinci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digitalnih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tehnologija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nasilnih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videoigara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društvenih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mreža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…)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</w:p>
          <w:p w14:paraId="325365D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Individualni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obiteljski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društveni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učinci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</w:p>
          <w:p w14:paraId="44764883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Zauzimanje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perspektive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drugih</w:t>
            </w:r>
            <w:proofErr w:type="spellEnd"/>
          </w:p>
          <w:p w14:paraId="08C8A2E8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Etička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načela</w:t>
            </w:r>
            <w:proofErr w:type="spellEnd"/>
          </w:p>
          <w:p w14:paraId="141E658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Mirno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sukoba</w:t>
            </w:r>
            <w:proofErr w:type="spellEnd"/>
          </w:p>
          <w:p w14:paraId="6D2A2F01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Prava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mladih</w:t>
            </w:r>
            <w:proofErr w:type="spellEnd"/>
          </w:p>
        </w:tc>
      </w:tr>
      <w:tr w:rsidR="00F732D9" w:rsidRPr="00F732D9" w14:paraId="5F1B155D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D19FE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72581120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F86C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pripadajući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provjeravaju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rezultata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definiranih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elemenata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holističke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).</w:t>
            </w:r>
          </w:p>
          <w:p w14:paraId="47B31D2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Na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dvorištu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jednog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koji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odstupanja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posljedicu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određene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teškoće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okuplja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broj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Neki od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okupljenih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ga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guraju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neprihvatljivo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njim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komuniciraju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Pojedini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ga brane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odlaze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mjesta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događaja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3D72EB6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Na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dvorišta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kriomice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puše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odbacivanje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kontejner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papirom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7CBD1CF6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Zadatak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1: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kontekstu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usmeno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specifičnosti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 Uočiti 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odstupanja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posljedica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teškoće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granice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neprihvatljivog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pojedinca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važnost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zauzimanja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perspektive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drugih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etička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načela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Nadalje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istaknuti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važnost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mirnog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sukoba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donošenja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odluka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različite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interakciji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deeskalacije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mirnog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sukoba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7E0D0E1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Uz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konfliktne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primjerenost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simulirane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empatičkom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deeskalacije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proofErr w:type="gram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..</w:t>
            </w:r>
            <w:proofErr w:type="gram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Također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55E1700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Uslijedit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povratna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dobro,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trebalo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ispraviti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44938BE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Zadatak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2: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ugroze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znakove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neprihvatljivog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koji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mogu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izazvati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predložiti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može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izazvati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ugrozu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6B6A916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Uz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ugroze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izbor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sprječavanja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ugroze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ostali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Uslijedit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analiza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povratna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iznijeti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dojmove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0BA09AFF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5DF34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Prilagodba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iskustava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invaliditetom</w:t>
            </w:r>
            <w:proofErr w:type="spellEnd"/>
          </w:p>
        </w:tc>
      </w:tr>
      <w:tr w:rsidR="00F732D9" w:rsidRPr="00F732D9" w14:paraId="238FFC4A" w14:textId="77777777" w:rsidTr="00F732D9">
        <w:tc>
          <w:tcPr>
            <w:tcW w:w="10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6D898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</w:p>
        </w:tc>
      </w:tr>
    </w:tbl>
    <w:p w14:paraId="65CE57C8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br/>
      </w:r>
    </w:p>
    <w:p w14:paraId="380A76A3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84"/>
        <w:gridCol w:w="8283"/>
      </w:tblGrid>
      <w:tr w:rsidR="00F732D9" w:rsidRPr="00F732D9" w14:paraId="59F7CFD1" w14:textId="77777777" w:rsidTr="00F732D9"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6230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SK-a,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obujam</w:t>
            </w:r>
            <w:proofErr w:type="spellEnd"/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ABF40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, 1 CSVET bod</w:t>
            </w:r>
          </w:p>
        </w:tc>
      </w:tr>
      <w:tr w:rsidR="00F732D9" w:rsidRPr="00F732D9" w14:paraId="137A7A2B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C6F67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068DC272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D7C7E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djelokrug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pojedinih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radnika</w:t>
            </w:r>
            <w:proofErr w:type="spellEnd"/>
          </w:p>
        </w:tc>
      </w:tr>
      <w:tr w:rsidR="00F732D9" w:rsidRPr="00F732D9" w14:paraId="6DADA5AF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94CA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2.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Identificirati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okviru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</w:t>
            </w:r>
            <w:proofErr w:type="spellEnd"/>
          </w:p>
        </w:tc>
      </w:tr>
      <w:tr w:rsidR="00F732D9" w:rsidRPr="00F732D9" w14:paraId="362A647D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A2BAD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3.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neverbalne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</w:p>
        </w:tc>
      </w:tr>
      <w:tr w:rsidR="00F732D9" w:rsidRPr="00F732D9" w14:paraId="141AB5D0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DE4AE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4.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Razlikovati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otvorena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zatvorena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pitanja</w:t>
            </w:r>
            <w:proofErr w:type="spellEnd"/>
          </w:p>
        </w:tc>
      </w:tr>
      <w:tr w:rsidR="00F732D9" w:rsidRPr="00F732D9" w14:paraId="0BCDAD7C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DB4C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5.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Koristiti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slušanja</w:t>
            </w:r>
            <w:proofErr w:type="spellEnd"/>
          </w:p>
        </w:tc>
      </w:tr>
      <w:tr w:rsidR="00F732D9" w:rsidRPr="00F732D9" w14:paraId="4BB9F3F6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52A70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6.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učinkovite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verbalne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neverbalne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uspostavljanja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suradničkog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odnosa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sugovornikom</w:t>
            </w:r>
            <w:proofErr w:type="spellEnd"/>
          </w:p>
        </w:tc>
      </w:tr>
      <w:tr w:rsidR="00F732D9" w:rsidRPr="00F732D9" w14:paraId="68E5BB37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1062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7.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Objasniti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uzroke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moguće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posljedice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interpersonalnih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konflikata</w:t>
            </w:r>
            <w:proofErr w:type="spellEnd"/>
          </w:p>
        </w:tc>
      </w:tr>
      <w:tr w:rsidR="00F732D9" w:rsidRPr="00F732D9" w14:paraId="1323D022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C1DE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8.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pretpostavke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nenasilno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konfliktne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situacije</w:t>
            </w:r>
            <w:proofErr w:type="spellEnd"/>
          </w:p>
        </w:tc>
      </w:tr>
      <w:tr w:rsidR="00F732D9" w:rsidRPr="00F732D9" w14:paraId="3BE3EC28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45814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Dominantan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SIU</w:t>
            </w:r>
          </w:p>
        </w:tc>
      </w:tr>
      <w:tr w:rsidR="00F732D9" w:rsidRPr="00F732D9" w14:paraId="40DB8254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77BCC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izvođenja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koji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često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kombiniraju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izmjenjuju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884FC9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koriste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različitih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usmenog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izlaganja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rad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tekstu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izrada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mentalnih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digitalnih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prezentacija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internetu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interaktivni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kvizovi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listići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razgovor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diskusija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74DC3204" w14:textId="77777777" w:rsidTr="00F732D9"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396F3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cjeline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teme</w:t>
            </w:r>
            <w:proofErr w:type="spellEnd"/>
          </w:p>
        </w:tc>
        <w:tc>
          <w:tcPr>
            <w:tcW w:w="8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2B83A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Verbalna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neverbalna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komunikacija</w:t>
            </w:r>
            <w:proofErr w:type="spellEnd"/>
          </w:p>
          <w:p w14:paraId="56425BA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slušanje</w:t>
            </w:r>
            <w:proofErr w:type="spellEnd"/>
          </w:p>
          <w:p w14:paraId="4AC282D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Interpersonalne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</w:p>
          <w:p w14:paraId="23231B6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Krizna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komunikacija</w:t>
            </w:r>
            <w:proofErr w:type="spellEnd"/>
          </w:p>
          <w:p w14:paraId="14DFCE7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konfliktnim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situacijama</w:t>
            </w:r>
            <w:proofErr w:type="spellEnd"/>
          </w:p>
          <w:p w14:paraId="6901332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Odnosi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među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vršnjacima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djetinjstvo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odrastanje</w:t>
            </w:r>
            <w:proofErr w:type="spellEnd"/>
          </w:p>
          <w:p w14:paraId="6E1348C9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Razmjena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djelatnicima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pružanja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podrške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učenicima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riziku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slučaju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ugroze</w:t>
            </w:r>
            <w:proofErr w:type="spellEnd"/>
          </w:p>
        </w:tc>
      </w:tr>
      <w:tr w:rsidR="00F732D9" w:rsidRPr="00F732D9" w14:paraId="100D7EA6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7ABF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60E24D21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05E3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Skup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pripadajući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provjeravaju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rezultata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definiranih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elemenata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holističke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).</w:t>
            </w:r>
          </w:p>
          <w:p w14:paraId="1EEAB7B3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1: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različite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djelatnice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interakciji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građanima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2D961A88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Uz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primjerenost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empatičkom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Također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7284985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Uslijedit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povratna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dobro,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trebalo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ispraviti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63D51FA3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2: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deeskalacije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nenasilnog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sukoba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: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roditelji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svađaju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mjesta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parkiranje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sukob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učenikom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aparata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napitcima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).</w:t>
            </w:r>
          </w:p>
          <w:p w14:paraId="022BAEE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Uz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deeskalacije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konflikata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ostali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Uslijedit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analiza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povratna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iznijeti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dojmove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2D1618A4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5CA13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Prilagodba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iskustava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invaliditetom</w:t>
            </w:r>
            <w:proofErr w:type="spellEnd"/>
          </w:p>
        </w:tc>
      </w:tr>
      <w:tr w:rsidR="00F732D9" w:rsidRPr="00F732D9" w14:paraId="1F8A9E5F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C07F8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</w:p>
        </w:tc>
      </w:tr>
    </w:tbl>
    <w:p w14:paraId="23EA5DDB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br/>
      </w:r>
    </w:p>
    <w:p w14:paraId="711F6F00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76"/>
        <w:gridCol w:w="8283"/>
      </w:tblGrid>
      <w:tr w:rsidR="00F732D9" w:rsidRPr="00F732D9" w14:paraId="695B62BB" w14:textId="77777777" w:rsidTr="00F732D9"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2480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SK-a,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obujam</w:t>
            </w:r>
            <w:proofErr w:type="spellEnd"/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76F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odgojno-obrazovnim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ustanovama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6 CSVET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bodova</w:t>
            </w:r>
            <w:proofErr w:type="spellEnd"/>
          </w:p>
        </w:tc>
      </w:tr>
      <w:tr w:rsidR="00F732D9" w:rsidRPr="00F732D9" w14:paraId="5E1F6E93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7A12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53D4171F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1E9D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Objasniti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zakonske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odredbe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zaštitu</w:t>
            </w:r>
            <w:proofErr w:type="spellEnd"/>
          </w:p>
        </w:tc>
      </w:tr>
      <w:tr w:rsidR="00F732D9" w:rsidRPr="00F732D9" w14:paraId="1ACC51D7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7E797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2.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davanje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upozorenja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naredbi</w:t>
            </w:r>
            <w:proofErr w:type="spellEnd"/>
          </w:p>
        </w:tc>
      </w:tr>
      <w:tr w:rsidR="00F732D9" w:rsidRPr="00F732D9" w14:paraId="7A4F329A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C719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3.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postupak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identiteta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</w:t>
            </w:r>
            <w:proofErr w:type="spellEnd"/>
          </w:p>
        </w:tc>
      </w:tr>
      <w:tr w:rsidR="00F732D9" w:rsidRPr="00F732D9" w14:paraId="20DF0250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54258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4.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identiteta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situacijama</w:t>
            </w:r>
            <w:proofErr w:type="spellEnd"/>
          </w:p>
        </w:tc>
      </w:tr>
      <w:tr w:rsidR="00F732D9" w:rsidRPr="00F732D9" w14:paraId="0FAF1797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8707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5.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Razlikovati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pretrage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prometnih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</w:p>
        </w:tc>
      </w:tr>
      <w:tr w:rsidR="00F732D9" w:rsidRPr="00F732D9" w14:paraId="75BDE050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8C29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6.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prilikom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normalnoj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sumnjivoj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opasnoj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</w:p>
        </w:tc>
      </w:tr>
      <w:tr w:rsidR="00F732D9" w:rsidRPr="00F732D9" w14:paraId="659E9485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34584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7.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okolnosti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privremeno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ograničenje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slobode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kretanja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osiguranja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mjesta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događaja</w:t>
            </w:r>
            <w:proofErr w:type="spellEnd"/>
          </w:p>
        </w:tc>
      </w:tr>
      <w:tr w:rsidR="00F732D9" w:rsidRPr="00F732D9" w14:paraId="1EC4B16F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49BAB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8.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Objasniti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opće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načela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</w:p>
        </w:tc>
      </w:tr>
      <w:tr w:rsidR="00F732D9" w:rsidRPr="00F732D9" w14:paraId="41E0125B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7BFA5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9.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Navesti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zakonske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tjelesne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snage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raspršivača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dozvoljenim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neškodljivim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tvarima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vezivanje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palice</w:t>
            </w:r>
            <w:proofErr w:type="spellEnd"/>
          </w:p>
        </w:tc>
      </w:tr>
      <w:tr w:rsidR="00F732D9" w:rsidRPr="00F732D9" w14:paraId="74520F89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CF8D0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10.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Sastaviti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izvješća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obavljenim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primijenjenim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</w:p>
        </w:tc>
      </w:tr>
      <w:tr w:rsidR="00F732D9" w:rsidRPr="00F732D9" w14:paraId="0BF9280D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B0205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Dominantan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SIU</w:t>
            </w:r>
          </w:p>
        </w:tc>
      </w:tr>
      <w:tr w:rsidR="00F732D9" w:rsidRPr="00F732D9" w14:paraId="2EE371F8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230F8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realizacije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4D9D876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normalnoj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sumnjivoj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opasnoj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sastavljanja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izvješća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obavljenim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primijenjenim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2F60C7F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koriste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različitih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usmenog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izlaganja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rad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tekstu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izrada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mentalnih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digitalnih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prezentacija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internetu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interaktivni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kvizovi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listići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razgovor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diskusija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individualiziranog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pristupa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suradničkih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svrhovitu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tehnologije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1649B932" w14:textId="77777777" w:rsidTr="00F732D9"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815E0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cjeline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teme</w:t>
            </w:r>
            <w:proofErr w:type="spellEnd"/>
          </w:p>
        </w:tc>
        <w:tc>
          <w:tcPr>
            <w:tcW w:w="81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C29F5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okviru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ustanove</w:t>
            </w:r>
            <w:proofErr w:type="spellEnd"/>
          </w:p>
          <w:p w14:paraId="6332984F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>Zaštita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podataka</w:t>
            </w:r>
            <w:proofErr w:type="spellEnd"/>
          </w:p>
          <w:p w14:paraId="2709F5BA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okviru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protupravnih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</w:p>
          <w:p w14:paraId="4424B10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upozorenja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naredbi</w:t>
            </w:r>
            <w:proofErr w:type="spellEnd"/>
          </w:p>
          <w:p w14:paraId="4EA8CFF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identiteta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osoba</w:t>
            </w:r>
            <w:proofErr w:type="spellEnd"/>
          </w:p>
          <w:p w14:paraId="3D3FB9F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prometnih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privremeno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zadržavanje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preuzimanje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predmeta</w:t>
            </w:r>
            <w:proofErr w:type="spellEnd"/>
          </w:p>
          <w:p w14:paraId="50CEBE4E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Privremeno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ograničavanje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slobode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kretanja</w:t>
            </w:r>
            <w:proofErr w:type="spellEnd"/>
          </w:p>
          <w:p w14:paraId="2667944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Osiguranje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mjesta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događaja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skladu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propisima</w:t>
            </w:r>
            <w:proofErr w:type="spellEnd"/>
          </w:p>
          <w:p w14:paraId="6EB0F8E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Privremeno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oduzimanje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predmeta</w:t>
            </w:r>
            <w:proofErr w:type="spellEnd"/>
          </w:p>
        </w:tc>
      </w:tr>
      <w:tr w:rsidR="00F732D9" w:rsidRPr="00F732D9" w14:paraId="1CB843A2" w14:textId="77777777" w:rsidTr="00F732D9"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26FA2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163B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–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načela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otpora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tjelesne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snage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raspršivača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neškodljivih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tvari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palice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vezivanje</w:t>
            </w:r>
            <w:proofErr w:type="spellEnd"/>
          </w:p>
          <w:p w14:paraId="72ABDA8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pretraga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skladu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propisima</w:t>
            </w:r>
            <w:proofErr w:type="spellEnd"/>
          </w:p>
          <w:p w14:paraId="45EAF523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prilikom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identiteta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normalnoj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sumnjivoj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opasnoj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</w:p>
          <w:p w14:paraId="61CB0ADE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prilikom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normalnoj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sumnjivoj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opasanoj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</w:p>
          <w:p w14:paraId="456CC79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protupravnih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neprihvatljivih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ponašanja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vezana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školsko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okruženje</w:t>
            </w:r>
            <w:proofErr w:type="spellEnd"/>
          </w:p>
          <w:p w14:paraId="793260C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Sadržaj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izvješća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obavljenim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poslovima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primijenjenim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</w:p>
        </w:tc>
      </w:tr>
      <w:tr w:rsidR="00F732D9" w:rsidRPr="00F732D9" w14:paraId="0B5FABCF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7694D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2DC85D97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EC8D6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pripadajući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provjeravaju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rezultata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definiranih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elemenata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holističke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).</w:t>
            </w:r>
          </w:p>
          <w:p w14:paraId="197BB321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1: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priprema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konkretnu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dojave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događaju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prilikom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treba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potrebne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analizirati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dostupne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podatke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uzroke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razloge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koji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doveli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potrebe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identiteta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prometnog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3993B65B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izvedba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treba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razinu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rizika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prilagoditi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taktiku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identiteta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predmeta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prometnog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sastavljanja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izvješća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72C791D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definiranih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kriterijsko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ocjenu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6D326ADF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evaluaciju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samoevaluaciju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provedenog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prosuđuju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423AECC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2: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priprema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konkretnu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vezanu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privremeno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ograničenje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slobode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kretanja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osiguranje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mjesta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događaja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prilikom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mora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definirati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potrebne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analizirati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rizike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imovinu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6999E98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izvedba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treba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mogućem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riziku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može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sastavljanja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izvješća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509FCC95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definiranih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proces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kriterijsko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ocjenu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D785E5A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evaluaciju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samoevaluaciju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provedenog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prosuđuju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simulaciju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7BCDA498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B3ADA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Prilagodba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iskustava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invaliditetom</w:t>
            </w:r>
            <w:proofErr w:type="spellEnd"/>
          </w:p>
        </w:tc>
      </w:tr>
      <w:tr w:rsidR="00F732D9" w:rsidRPr="00F732D9" w14:paraId="2741A63A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04E8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</w:p>
        </w:tc>
      </w:tr>
    </w:tbl>
    <w:p w14:paraId="1C92CB5A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br/>
      </w:r>
    </w:p>
    <w:p w14:paraId="468FEBB9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84"/>
        <w:gridCol w:w="8283"/>
      </w:tblGrid>
      <w:tr w:rsidR="00F732D9" w:rsidRPr="00F732D9" w14:paraId="4364DE22" w14:textId="77777777" w:rsidTr="00F732D9"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3029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SK-a,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obujam</w:t>
            </w:r>
            <w:proofErr w:type="spellEnd"/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7CB7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, 1 CSVET bod</w:t>
            </w:r>
          </w:p>
        </w:tc>
      </w:tr>
      <w:tr w:rsidR="00F732D9" w:rsidRPr="00F732D9" w14:paraId="1DCE6AC9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A92CD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3A54EDF5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3703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</w:p>
        </w:tc>
      </w:tr>
      <w:tr w:rsidR="00F732D9" w:rsidRPr="00F732D9" w14:paraId="2B9A051B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9B32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2.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procedure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prostora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rasvjete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</w:p>
        </w:tc>
      </w:tr>
      <w:tr w:rsidR="00F732D9" w:rsidRPr="00F732D9" w14:paraId="1CFD25F7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2A9E9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3.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obilazak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prostora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odgojno-obrazovnih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ustanova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tlocrtu</w:t>
            </w:r>
            <w:proofErr w:type="spellEnd"/>
          </w:p>
        </w:tc>
      </w:tr>
      <w:tr w:rsidR="00F732D9" w:rsidRPr="00F732D9" w14:paraId="20D13A60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631C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 xml:space="preserve">4.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Prepoznati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kojima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potrebna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vanjskim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suradnicima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sustavom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žurnim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službama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policija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hitna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medicinska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služba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vatrogasci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socijalna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skrb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</w:t>
            </w:r>
          </w:p>
        </w:tc>
      </w:tr>
      <w:tr w:rsidR="00F732D9" w:rsidRPr="00F732D9" w14:paraId="7CAC8696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9317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5.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postupak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neodgodive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dolaska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</w:p>
        </w:tc>
      </w:tr>
      <w:tr w:rsidR="00F732D9" w:rsidRPr="00F732D9" w14:paraId="76DD8E2B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42434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6.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poslove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skladu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propisima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</w:p>
        </w:tc>
      </w:tr>
      <w:tr w:rsidR="00F732D9" w:rsidRPr="00F732D9" w14:paraId="2996CBE2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3F911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Dominantan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SIU</w:t>
            </w:r>
          </w:p>
        </w:tc>
      </w:tr>
      <w:tr w:rsidR="00F732D9" w:rsidRPr="00F732D9" w14:paraId="4E31C86D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85440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realizacije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5564E91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pružanja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dolaska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sigurnosti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prostora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B4F59B9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koriste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različitih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usmenog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izlaganja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rad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tekstu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izrada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mentalnih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mapa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digitalnih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plakata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prezentacija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problemski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istraživački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internetu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interaktivni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kvizovi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listići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heuristički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razgovor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diskusija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individualiziranog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pristupa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suradničkih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svrhovitu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komunikacijske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tehnologije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0ADA232C" w14:textId="77777777" w:rsidTr="00F732D9"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2DC9B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cjeline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teme</w:t>
            </w:r>
            <w:proofErr w:type="spellEnd"/>
          </w:p>
        </w:tc>
        <w:tc>
          <w:tcPr>
            <w:tcW w:w="8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60C7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tehničke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procedurama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štićenog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objekta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prostora</w:t>
            </w:r>
            <w:proofErr w:type="spellEnd"/>
          </w:p>
          <w:p w14:paraId="3C87EE45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preventivnih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mjera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civilne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</w:p>
          <w:p w14:paraId="45CC8EC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Procedure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rizičnih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nesreća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katastrofa</w:t>
            </w:r>
            <w:proofErr w:type="spellEnd"/>
          </w:p>
          <w:p w14:paraId="538E4D98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Prohodnost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vatrogasnih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evakuacijskih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putova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izlaza</w:t>
            </w:r>
            <w:proofErr w:type="spellEnd"/>
          </w:p>
          <w:p w14:paraId="1543B03D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Zaustavljanje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krvarenja</w:t>
            </w:r>
            <w:proofErr w:type="spellEnd"/>
          </w:p>
          <w:p w14:paraId="60CCDCD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Pružanje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neodgodive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pomoći</w:t>
            </w:r>
            <w:proofErr w:type="spellEnd"/>
          </w:p>
          <w:p w14:paraId="2E41054A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od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</w:p>
          <w:p w14:paraId="0F74B1EA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Mjere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zaštite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spašavanje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u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kriznim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situacijama</w:t>
            </w:r>
            <w:proofErr w:type="spellEnd"/>
          </w:p>
        </w:tc>
      </w:tr>
      <w:tr w:rsidR="00F732D9" w:rsidRPr="00F732D9" w14:paraId="7A62716D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3F53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3DC7A539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662F4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pripadajući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provjeravaju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postupaka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rezultata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rješavanja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definiranih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elemenata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holističke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).</w:t>
            </w:r>
          </w:p>
          <w:p w14:paraId="632EE3F5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1: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simuliranoj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požara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8EC2C7C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Uz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primjerenost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empatičkom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Također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37735BE7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Uslijedit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povratna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dobro,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trebalo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ispraviti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5F99720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ili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projektnog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2: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igranje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uloga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simuliranoj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postupke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operativnog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djelatnika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dojave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eksplozivnoj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napravi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CB755F9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Uz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korištenje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rubrike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primjerenost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komunikacije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neverbalnom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empatičkom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planu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Također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drugi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406A017B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Uslijedit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povratna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informacija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dobro, 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što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trebalo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ispraviti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20A9C986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A57DF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Prilagodba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iskustava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invaliditetom</w:t>
            </w:r>
            <w:proofErr w:type="spellEnd"/>
          </w:p>
        </w:tc>
      </w:tr>
      <w:tr w:rsidR="00F732D9" w:rsidRPr="00F732D9" w14:paraId="4D27FD9F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4E668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</w:p>
        </w:tc>
      </w:tr>
    </w:tbl>
    <w:p w14:paraId="12398E70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br/>
      </w:r>
    </w:p>
    <w:p w14:paraId="451A11B7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95"/>
        <w:gridCol w:w="8240"/>
      </w:tblGrid>
      <w:tr w:rsidR="00F732D9" w:rsidRPr="00F732D9" w14:paraId="6AB48534" w14:textId="77777777" w:rsidTr="00F732D9"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486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667B5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SK-a,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obujam</w:t>
            </w:r>
            <w:proofErr w:type="spellEnd"/>
          </w:p>
        </w:tc>
        <w:tc>
          <w:tcPr>
            <w:tcW w:w="8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55682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, 1 CSVET bod</w:t>
            </w:r>
          </w:p>
        </w:tc>
      </w:tr>
      <w:tr w:rsidR="00F732D9" w:rsidRPr="00F732D9" w14:paraId="4BFC0C73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6FCC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1D509351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66D6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tjelesne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snage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svladavanje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pruža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otpor</w:t>
            </w:r>
            <w:proofErr w:type="spellEnd"/>
          </w:p>
        </w:tc>
      </w:tr>
      <w:tr w:rsidR="00F732D9" w:rsidRPr="00F732D9" w14:paraId="50C95855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03E0D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lastRenderedPageBreak/>
              <w:t xml:space="preserve">2.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uporabu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raspršivača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dozvoljenom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neškodljivom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tvari</w:t>
            </w:r>
            <w:proofErr w:type="spellEnd"/>
          </w:p>
        </w:tc>
      </w:tr>
      <w:tr w:rsidR="00F732D9" w:rsidRPr="00F732D9" w14:paraId="7A788984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E860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3.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vezivanja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</w:p>
        </w:tc>
      </w:tr>
      <w:tr w:rsidR="00F732D9" w:rsidRPr="00F732D9" w14:paraId="2D496DC0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07806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4.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Primijeniti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osnove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udarca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palicom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sukladno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</w:p>
        </w:tc>
      </w:tr>
      <w:tr w:rsidR="00F732D9" w:rsidRPr="00F732D9" w14:paraId="3AE82DF7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4240E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Dominantan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sustav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opis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ostvarivanja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SIU</w:t>
            </w:r>
          </w:p>
        </w:tc>
      </w:tr>
      <w:tr w:rsidR="00F732D9" w:rsidRPr="00F732D9" w14:paraId="62016873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82063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Ovaj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realizira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kroz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C3F76FE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polaznici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stjecati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vještine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svladavanja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sukladno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ovlastima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49C4C005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poučavanja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demonstrira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objašnjava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tehnike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nakon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čega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ponavlja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uvježbava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1C07602D" w14:textId="77777777" w:rsidR="00F732D9" w:rsidRPr="00F732D9" w:rsidRDefault="00F732D9" w:rsidP="00F732D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tijekom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temeljenog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radu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analizirati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kritički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prosuđivati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vlastite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motoričko-funkcionalne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sposobnosti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motivirano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pristupiti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vježbama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uz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pratnju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poticaj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ostalih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kombinirati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standardnog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ponavljajućeg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promjenjivog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situacijskog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Nastavnik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individualiziranim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pristupom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suradničkim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oblicima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rada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poticati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da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razvija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motoričko-funkcionalne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sposobnosti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promjenom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metoda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vježbanja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jača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svoje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motoričko-funkcionalne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sposobnosti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cijeniti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polaznikovu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samostalnost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poštivati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njegove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mogućnosti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17FF00FC" w14:textId="77777777" w:rsidTr="00F732D9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0F644" w14:textId="77777777" w:rsidR="00F732D9" w:rsidRPr="00F732D9" w:rsidRDefault="00F732D9" w:rsidP="00F73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Nastavne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cjeline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teme</w:t>
            </w:r>
            <w:proofErr w:type="spellEnd"/>
          </w:p>
        </w:tc>
        <w:tc>
          <w:tcPr>
            <w:tcW w:w="8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47D87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Svladavanje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aktivnog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pasivnog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otpora</w:t>
            </w:r>
            <w:proofErr w:type="spellEnd"/>
          </w:p>
          <w:p w14:paraId="01104A09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Zahvati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</w:p>
          <w:p w14:paraId="68F4F24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raspršivača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dozvoljenom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neškodljivom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tvari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vezivanje</w:t>
            </w:r>
            <w:proofErr w:type="spellEnd"/>
          </w:p>
        </w:tc>
      </w:tr>
      <w:tr w:rsidR="00F732D9" w:rsidRPr="00F732D9" w14:paraId="15A2A314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5802A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Načini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primjer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vrjednovanja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skupa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ishoda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</w:p>
        </w:tc>
      </w:tr>
      <w:tr w:rsidR="00F732D9" w:rsidRPr="00F732D9" w14:paraId="0F337039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6E540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Zadatak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simuliranoj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situaciji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zahvat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vezivanje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6FA57774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Pravilna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izvedba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zadatka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prilazi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napadaču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primjenjuje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zahvate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samoobrane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veže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obavlja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pregled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sastavlja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izvješće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o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uporabi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sredstava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prisile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  <w:p w14:paraId="39E4879D" w14:textId="77777777" w:rsidR="00F732D9" w:rsidRPr="00F732D9" w:rsidRDefault="00F732D9" w:rsidP="00F73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Vrednovanje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: </w:t>
            </w:r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Prema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unaprijed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utvrđenim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kriterijima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vrednuje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struktura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kretanja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koja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odgovara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strukturi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elementa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savlada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je u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određenom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vremenu</w:t>
            </w:r>
            <w:proofErr w:type="spellEnd"/>
            <w:r w:rsidRPr="00F732D9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.</w:t>
            </w:r>
          </w:p>
        </w:tc>
      </w:tr>
      <w:tr w:rsidR="00F732D9" w:rsidRPr="00F732D9" w14:paraId="13EC9D69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B3E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4FA8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Prilagodba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iskustava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učenja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za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polaznike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/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osobe</w:t>
            </w:r>
            <w:proofErr w:type="spellEnd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s </w:t>
            </w:r>
            <w:proofErr w:type="spellStart"/>
            <w:r w:rsidRPr="00F732D9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invaliditetom</w:t>
            </w:r>
            <w:proofErr w:type="spellEnd"/>
          </w:p>
        </w:tc>
      </w:tr>
      <w:tr w:rsidR="00F732D9" w:rsidRPr="00F732D9" w14:paraId="26274BFA" w14:textId="77777777" w:rsidTr="00F732D9">
        <w:tc>
          <w:tcPr>
            <w:tcW w:w="10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F82BC" w14:textId="77777777" w:rsidR="00F732D9" w:rsidRPr="00F732D9" w:rsidRDefault="00F732D9" w:rsidP="00F732D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 w:rsidRPr="00F732D9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/</w:t>
            </w:r>
          </w:p>
        </w:tc>
      </w:tr>
    </w:tbl>
    <w:p w14:paraId="4C9A7C07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kern w:val="0"/>
          <w14:ligatures w14:val="none"/>
        </w:rPr>
      </w:pPr>
      <w:r w:rsidRPr="00F732D9">
        <w:rPr>
          <w:rFonts w:ascii="Minion Pro" w:eastAsia="Times New Roman" w:hAnsi="Minion Pro" w:cs="Times New Roman"/>
          <w:color w:val="000000"/>
          <w:kern w:val="0"/>
          <w14:ligatures w14:val="none"/>
        </w:rPr>
        <w:br/>
      </w:r>
    </w:p>
    <w:p w14:paraId="5D94F9F3" w14:textId="77777777" w:rsidR="00F732D9" w:rsidRPr="00F732D9" w:rsidRDefault="00F732D9" w:rsidP="00F73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</w:pPr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 xml:space="preserve">* </w:t>
      </w:r>
      <w:proofErr w:type="spellStart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Napomena</w:t>
      </w:r>
      <w:proofErr w:type="spellEnd"/>
      <w:r w:rsidRPr="00F732D9">
        <w:rPr>
          <w:rFonts w:ascii="inherit" w:eastAsia="Times New Roman" w:hAnsi="inherit" w:cs="Times New Roman"/>
          <w:i/>
          <w:iCs/>
          <w:color w:val="231F20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3745BE36" w14:textId="77777777" w:rsidR="00F732D9" w:rsidRPr="00F732D9" w:rsidRDefault="00F732D9" w:rsidP="00F732D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</w:pP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Riječi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pojmovni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sklopovi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koji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imaju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rodno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značenje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korišteni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u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ovom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dokumentu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(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uključujući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nazive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kvalifikacija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,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zvanja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zanimanja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)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odnose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se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jednako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na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oba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roda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(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muški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ženski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)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na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oba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broja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(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jedninu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množinu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), bez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obzira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na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to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jesu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li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korišteni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u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muškom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ili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ženskom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rodu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,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odnosno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u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jednini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ili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 </w:t>
      </w:r>
      <w:proofErr w:type="spellStart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množini</w:t>
      </w:r>
      <w:proofErr w:type="spellEnd"/>
      <w:r w:rsidRPr="00F732D9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>.</w:t>
      </w:r>
    </w:p>
    <w:p w14:paraId="640108D2" w14:textId="77777777" w:rsidR="00310A70" w:rsidRDefault="00310A70"/>
    <w:sectPr w:rsidR="00310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D9"/>
    <w:rsid w:val="002F4371"/>
    <w:rsid w:val="00310A70"/>
    <w:rsid w:val="00932958"/>
    <w:rsid w:val="00F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0037"/>
  <w15:chartTrackingRefBased/>
  <w15:docId w15:val="{785CA81A-2478-40F3-B2B0-773B06A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3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3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3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3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3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3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3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3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3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3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3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32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32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32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32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32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32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3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3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3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32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32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32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3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32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3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5074</Words>
  <Characters>28923</Characters>
  <Application>Microsoft Office Word</Application>
  <DocSecurity>0</DocSecurity>
  <Lines>241</Lines>
  <Paragraphs>67</Paragraphs>
  <ScaleCrop>false</ScaleCrop>
  <Company/>
  <LinksUpToDate>false</LinksUpToDate>
  <CharactersWithSpaces>33930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Šokičić</dc:creator>
  <cp:keywords/>
  <dc:description/>
  <cp:lastModifiedBy>Domagoj Šokičić</cp:lastModifiedBy>
  <cp:revision>1</cp:revision>
  <dcterms:created xsi:type="dcterms:W3CDTF">2025-09-24T03:43:00Z</dcterms:created>
  <dcterms:modified xsi:type="dcterms:W3CDTF">2025-09-24T03:46:00Z</dcterms:modified>
</cp:coreProperties>
</file>